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DFB160" w14:textId="7FAF636C" w:rsidR="006434A2" w:rsidRPr="006434A2" w:rsidRDefault="006434A2" w:rsidP="006434A2">
      <w:pPr>
        <w:rPr>
          <w:rFonts w:cs="Times New Roman"/>
          <w:i/>
          <w:iCs/>
          <w:sz w:val="28"/>
          <w:szCs w:val="28"/>
          <w:lang w:val="en-US"/>
        </w:rPr>
      </w:pPr>
      <w:r w:rsidRPr="006434A2">
        <w:rPr>
          <w:rFonts w:cs="Times New Roman"/>
          <w:i/>
          <w:iCs/>
          <w:color w:val="282828"/>
          <w:lang w:val="en-US"/>
        </w:rPr>
        <w:t xml:space="preserve">Mortality after a proximal humeral fracture – data on 18,452 patients from the Swedish Fracture Register </w:t>
      </w:r>
    </w:p>
    <w:p w14:paraId="3FFA6908" w14:textId="77777777" w:rsidR="00C127FA" w:rsidRPr="006434A2" w:rsidRDefault="00C127FA">
      <w:pPr>
        <w:rPr>
          <w:lang w:val="en-US"/>
        </w:rPr>
      </w:pPr>
    </w:p>
    <w:p w14:paraId="049C1FB1" w14:textId="65A82F66" w:rsidR="006124A5" w:rsidRDefault="006124A5">
      <w:pPr>
        <w:rPr>
          <w:b/>
        </w:rPr>
      </w:pPr>
      <w:r>
        <w:rPr>
          <w:b/>
        </w:rPr>
        <w:t>Författare/Medverkande</w:t>
      </w:r>
    </w:p>
    <w:p w14:paraId="002F3FB7" w14:textId="5DF07938" w:rsidR="006434A2" w:rsidRPr="006434A2" w:rsidRDefault="006434A2">
      <w:pPr>
        <w:rPr>
          <w:bCs/>
          <w:i/>
          <w:iCs/>
        </w:rPr>
      </w:pPr>
      <w:r w:rsidRPr="006434A2">
        <w:rPr>
          <w:bCs/>
          <w:i/>
          <w:iCs/>
        </w:rPr>
        <w:t xml:space="preserve">Carl Bergdahl, </w:t>
      </w:r>
      <w:r w:rsidR="008E59D1" w:rsidRPr="006434A2">
        <w:rPr>
          <w:bCs/>
          <w:i/>
          <w:iCs/>
        </w:rPr>
        <w:t xml:space="preserve">David Wennergren, </w:t>
      </w:r>
      <w:r w:rsidRPr="006434A2">
        <w:rPr>
          <w:bCs/>
          <w:i/>
          <w:iCs/>
        </w:rPr>
        <w:t>Jan Ekelund, Michael Möller</w:t>
      </w:r>
    </w:p>
    <w:p w14:paraId="74787D39" w14:textId="77777777" w:rsidR="006124A5" w:rsidRDefault="006124A5">
      <w:pPr>
        <w:rPr>
          <w:b/>
        </w:rPr>
      </w:pPr>
    </w:p>
    <w:p w14:paraId="4D68EF30" w14:textId="114C5F66" w:rsidR="00C127FA" w:rsidRPr="008E59D1" w:rsidRDefault="0083515A">
      <w:pPr>
        <w:rPr>
          <w:b/>
          <w:lang w:val="en-US"/>
        </w:rPr>
      </w:pPr>
      <w:proofErr w:type="spellStart"/>
      <w:r w:rsidRPr="008E59D1">
        <w:rPr>
          <w:b/>
          <w:lang w:val="en-US"/>
        </w:rPr>
        <w:t>Sammanfattning</w:t>
      </w:r>
      <w:proofErr w:type="spellEnd"/>
      <w:r w:rsidRPr="008E59D1">
        <w:rPr>
          <w:b/>
          <w:lang w:val="en-US"/>
        </w:rPr>
        <w:t xml:space="preserve"> av </w:t>
      </w:r>
      <w:proofErr w:type="spellStart"/>
      <w:r w:rsidRPr="008E59D1">
        <w:rPr>
          <w:b/>
          <w:lang w:val="en-US"/>
        </w:rPr>
        <w:t>studien</w:t>
      </w:r>
      <w:proofErr w:type="spellEnd"/>
    </w:p>
    <w:p w14:paraId="5A88D0E8" w14:textId="717042ED" w:rsidR="00427EBE" w:rsidRDefault="00D368C4">
      <w:pPr>
        <w:rPr>
          <w:i/>
        </w:rPr>
      </w:pPr>
      <w:r>
        <w:rPr>
          <w:i/>
        </w:rPr>
        <w:t>Det råder en begränsad kunskap huruvida andra frakturer än höft- och kotfrakturer är associerade med en ökad mortalitet.  I den här nationella registerstudien undersök</w:t>
      </w:r>
      <w:r w:rsidR="007279A8">
        <w:rPr>
          <w:i/>
        </w:rPr>
        <w:t>tes</w:t>
      </w:r>
      <w:r>
        <w:rPr>
          <w:i/>
        </w:rPr>
        <w:t xml:space="preserve"> mortaliteten efter en överarmsfraktur, vilken är den tredje vanligaste frakturtypen hos personer ≥65 år. Alla patienter ≥16 år som var registrerade med en överarmsfraktur i Frakturregistret inkluderades. Via koppling till Skatteverket kunde eventuella dödsfall identifieras och ålders- och könsmatchade kontroller hämtades via Statistiska centralbyrån. </w:t>
      </w:r>
    </w:p>
    <w:p w14:paraId="4F23B1DB" w14:textId="276B0669" w:rsidR="007279A8" w:rsidRDefault="007279A8">
      <w:pPr>
        <w:rPr>
          <w:i/>
        </w:rPr>
      </w:pPr>
    </w:p>
    <w:p w14:paraId="3E9B30B2" w14:textId="7AA81EA2" w:rsidR="007279A8" w:rsidRDefault="007279A8">
      <w:pPr>
        <w:rPr>
          <w:i/>
        </w:rPr>
      </w:pPr>
      <w:r>
        <w:rPr>
          <w:i/>
        </w:rPr>
        <w:t>J</w:t>
      </w:r>
      <w:r>
        <w:rPr>
          <w:i/>
        </w:rPr>
        <w:t xml:space="preserve">ämfört med </w:t>
      </w:r>
      <w:r>
        <w:rPr>
          <w:i/>
        </w:rPr>
        <w:t xml:space="preserve">en </w:t>
      </w:r>
      <w:r>
        <w:rPr>
          <w:i/>
        </w:rPr>
        <w:t>normalpopulation</w:t>
      </w:r>
      <w:r>
        <w:rPr>
          <w:i/>
        </w:rPr>
        <w:t xml:space="preserve"> så hade patienter med en överarmsfraktur fem gånger ökad mortalitet 30 dagar efter fraktur, vilken minskade till två gånger högre vid ett år efter fraktur. Ökande ålder,  manligt kön, en annan samtida fraktur och </w:t>
      </w:r>
      <w:r>
        <w:rPr>
          <w:i/>
        </w:rPr>
        <w:t>icke-kirurgis</w:t>
      </w:r>
      <w:r>
        <w:rPr>
          <w:i/>
        </w:rPr>
        <w:t xml:space="preserve">k behandling var alla oberoende faktorer som var associerade med en ökad mortalitet. </w:t>
      </w:r>
    </w:p>
    <w:p w14:paraId="7DD204B3" w14:textId="77777777" w:rsidR="00C127FA" w:rsidRPr="008E59D1" w:rsidRDefault="00C127FA">
      <w:pPr>
        <w:rPr>
          <w:lang w:val="en-US"/>
        </w:rPr>
      </w:pPr>
    </w:p>
    <w:p w14:paraId="7D0B4A60" w14:textId="77777777" w:rsidR="00007C56" w:rsidRDefault="00007C56">
      <w:pPr>
        <w:rPr>
          <w:b/>
        </w:rPr>
      </w:pPr>
      <w:r>
        <w:rPr>
          <w:b/>
        </w:rPr>
        <w:t>Bild/figur</w:t>
      </w:r>
    </w:p>
    <w:p w14:paraId="3ADB488D" w14:textId="59022B91" w:rsidR="00007C56" w:rsidRDefault="00AB75A6">
      <w:pPr>
        <w:rPr>
          <w:b/>
        </w:rPr>
      </w:pPr>
      <w:r w:rsidRPr="00AB75A6">
        <w:rPr>
          <w:b/>
          <w:noProof/>
        </w:rPr>
        <w:drawing>
          <wp:inline distT="0" distB="0" distL="0" distR="0" wp14:anchorId="434E39E2" wp14:editId="054656AF">
            <wp:extent cx="2480289" cy="3333509"/>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01389" cy="3361868"/>
                    </a:xfrm>
                    <a:prstGeom prst="rect">
                      <a:avLst/>
                    </a:prstGeom>
                  </pic:spPr>
                </pic:pic>
              </a:graphicData>
            </a:graphic>
          </wp:inline>
        </w:drawing>
      </w:r>
    </w:p>
    <w:p w14:paraId="097B2A09" w14:textId="7AC48377" w:rsidR="00C127FA" w:rsidRDefault="00C127FA">
      <w:pPr>
        <w:rPr>
          <w:b/>
        </w:rPr>
      </w:pPr>
      <w:proofErr w:type="spellStart"/>
      <w:r w:rsidRPr="00C127FA">
        <w:rPr>
          <w:b/>
        </w:rPr>
        <w:t>Take</w:t>
      </w:r>
      <w:proofErr w:type="spellEnd"/>
      <w:r w:rsidRPr="00C127FA">
        <w:rPr>
          <w:b/>
        </w:rPr>
        <w:t xml:space="preserve"> </w:t>
      </w:r>
      <w:proofErr w:type="spellStart"/>
      <w:r w:rsidRPr="00C127FA">
        <w:rPr>
          <w:b/>
        </w:rPr>
        <w:t>home</w:t>
      </w:r>
      <w:proofErr w:type="spellEnd"/>
      <w:r w:rsidRPr="00C127FA">
        <w:rPr>
          <w:b/>
        </w:rPr>
        <w:t xml:space="preserve"> </w:t>
      </w:r>
      <w:proofErr w:type="spellStart"/>
      <w:r w:rsidRPr="00C127FA">
        <w:rPr>
          <w:b/>
        </w:rPr>
        <w:t>message</w:t>
      </w:r>
      <w:proofErr w:type="spellEnd"/>
    </w:p>
    <w:p w14:paraId="57BB58F7" w14:textId="22951EBF" w:rsidR="007279A8" w:rsidRPr="00CD5960" w:rsidRDefault="007279A8" w:rsidP="007279A8">
      <w:pPr>
        <w:pStyle w:val="Liststycke"/>
        <w:numPr>
          <w:ilvl w:val="0"/>
          <w:numId w:val="1"/>
        </w:numPr>
        <w:rPr>
          <w:bCs/>
          <w:i/>
          <w:iCs/>
        </w:rPr>
      </w:pPr>
      <w:r w:rsidRPr="00CD5960">
        <w:rPr>
          <w:bCs/>
          <w:i/>
          <w:iCs/>
        </w:rPr>
        <w:t xml:space="preserve">Patienter som ådrar sig en överarmsfraktur har en </w:t>
      </w:r>
      <w:r w:rsidR="00CD5960">
        <w:rPr>
          <w:bCs/>
          <w:i/>
          <w:iCs/>
        </w:rPr>
        <w:t>tydligt</w:t>
      </w:r>
      <w:r w:rsidRPr="00CD5960">
        <w:rPr>
          <w:bCs/>
          <w:i/>
          <w:iCs/>
        </w:rPr>
        <w:t xml:space="preserve"> ökad risk för död </w:t>
      </w:r>
      <w:r w:rsidR="00CD5960" w:rsidRPr="00CD5960">
        <w:rPr>
          <w:bCs/>
          <w:i/>
          <w:iCs/>
        </w:rPr>
        <w:t>jämfört med den övriga befolkningen, särskilt tidigt efter en fraktur.</w:t>
      </w:r>
    </w:p>
    <w:p w14:paraId="5616856B" w14:textId="329D5652" w:rsidR="00CD5960" w:rsidRPr="00CD5960" w:rsidRDefault="00CD5960" w:rsidP="00AB75A6">
      <w:pPr>
        <w:pStyle w:val="Liststycke"/>
        <w:numPr>
          <w:ilvl w:val="0"/>
          <w:numId w:val="1"/>
        </w:numPr>
        <w:rPr>
          <w:i/>
          <w:iCs/>
        </w:rPr>
      </w:pPr>
      <w:r w:rsidRPr="00CD5960">
        <w:rPr>
          <w:i/>
          <w:iCs/>
        </w:rPr>
        <w:t xml:space="preserve">Denna patientgrupp verkar vara påtagligt skör och därmed </w:t>
      </w:r>
      <w:r>
        <w:rPr>
          <w:i/>
          <w:iCs/>
        </w:rPr>
        <w:t>är patienter med den här typen</w:t>
      </w:r>
      <w:bookmarkStart w:id="0" w:name="_GoBack"/>
      <w:bookmarkEnd w:id="0"/>
      <w:r>
        <w:rPr>
          <w:i/>
          <w:iCs/>
        </w:rPr>
        <w:t xml:space="preserve"> av fraktur också i behov av ett riktat omhändertagande och omedelbar medicinsk optimering. </w:t>
      </w:r>
      <w:r w:rsidRPr="00CD5960">
        <w:rPr>
          <w:i/>
          <w:iCs/>
        </w:rPr>
        <w:t xml:space="preserve"> </w:t>
      </w:r>
    </w:p>
    <w:p w14:paraId="3C488F56" w14:textId="77777777" w:rsidR="00B136EE" w:rsidRPr="00CD5960" w:rsidRDefault="00B136EE" w:rsidP="00B136EE">
      <w:pPr>
        <w:pStyle w:val="Liststycke"/>
      </w:pPr>
    </w:p>
    <w:p w14:paraId="3CC9A587" w14:textId="77777777" w:rsidR="00530DBB" w:rsidRDefault="00C127FA" w:rsidP="00530DBB">
      <w:r w:rsidRPr="00C127FA">
        <w:rPr>
          <w:b/>
        </w:rPr>
        <w:t>Referens till publikationen</w:t>
      </w:r>
      <w:r>
        <w:t xml:space="preserve"> </w:t>
      </w:r>
    </w:p>
    <w:p w14:paraId="3B659C14" w14:textId="10D61D3A" w:rsidR="00C127FA" w:rsidRPr="00530DBB" w:rsidRDefault="00530DBB">
      <w:pPr>
        <w:rPr>
          <w:i/>
          <w:iCs/>
          <w:sz w:val="22"/>
          <w:szCs w:val="22"/>
        </w:rPr>
      </w:pPr>
      <w:r w:rsidRPr="00530DBB">
        <w:rPr>
          <w:rFonts w:ascii="Times" w:hAnsi="Times"/>
          <w:i/>
          <w:iCs/>
          <w:color w:val="000000"/>
        </w:rPr>
        <w:t xml:space="preserve">Bone and Joint Journal, Bone Joint J 2020;102-B(11):1–7. </w:t>
      </w:r>
      <w:r>
        <w:rPr>
          <w:rFonts w:ascii="Times" w:hAnsi="Times"/>
          <w:i/>
          <w:iCs/>
          <w:color w:val="000000"/>
        </w:rPr>
        <w:br/>
      </w:r>
      <w:r w:rsidRPr="00530DBB">
        <w:rPr>
          <w:rFonts w:ascii="Times" w:hAnsi="Times"/>
          <w:i/>
          <w:iCs/>
          <w:color w:val="000000"/>
        </w:rPr>
        <w:t>doi:10.1302/0301-620X.102B11.BJJ-2020-0627.R1</w:t>
      </w:r>
    </w:p>
    <w:sectPr w:rsidR="00C127FA" w:rsidRPr="00530DBB" w:rsidSect="00072370">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6777D6D"/>
    <w:multiLevelType w:val="hybridMultilevel"/>
    <w:tmpl w:val="92A07C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7FA"/>
    <w:rsid w:val="00007C56"/>
    <w:rsid w:val="00072370"/>
    <w:rsid w:val="00427EBE"/>
    <w:rsid w:val="00530DBB"/>
    <w:rsid w:val="006124A5"/>
    <w:rsid w:val="006434A2"/>
    <w:rsid w:val="007279A8"/>
    <w:rsid w:val="0083515A"/>
    <w:rsid w:val="008E59D1"/>
    <w:rsid w:val="008F71DB"/>
    <w:rsid w:val="00A12D06"/>
    <w:rsid w:val="00AB149F"/>
    <w:rsid w:val="00AB75A6"/>
    <w:rsid w:val="00B136EE"/>
    <w:rsid w:val="00BC77CC"/>
    <w:rsid w:val="00C127FA"/>
    <w:rsid w:val="00CD5960"/>
    <w:rsid w:val="00D368C4"/>
    <w:rsid w:val="00E42CEF"/>
    <w:rsid w:val="00F97198"/>
    <w:rsid w:val="00FA277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30432C"/>
  <w14:defaultImageDpi w14:val="300"/>
  <w15:docId w15:val="{50DED2E2-2D1E-6E4A-B32E-DD9D401C6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F97198"/>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F97198"/>
    <w:rPr>
      <w:rFonts w:ascii="Lucida Grande" w:hAnsi="Lucida Grande" w:cs="Lucida Grande"/>
      <w:sz w:val="18"/>
      <w:szCs w:val="18"/>
      <w:lang w:val="en-US"/>
    </w:rPr>
  </w:style>
  <w:style w:type="paragraph" w:styleId="Normalwebb">
    <w:name w:val="Normal (Web)"/>
    <w:basedOn w:val="Normal"/>
    <w:uiPriority w:val="99"/>
    <w:semiHidden/>
    <w:unhideWhenUsed/>
    <w:rsid w:val="006434A2"/>
    <w:pPr>
      <w:spacing w:before="100" w:beforeAutospacing="1" w:after="100" w:afterAutospacing="1"/>
    </w:pPr>
    <w:rPr>
      <w:rFonts w:eastAsia="Times New Roman" w:cs="Times New Roman"/>
    </w:rPr>
  </w:style>
  <w:style w:type="paragraph" w:styleId="Liststycke">
    <w:name w:val="List Paragraph"/>
    <w:basedOn w:val="Normal"/>
    <w:uiPriority w:val="34"/>
    <w:qFormat/>
    <w:rsid w:val="00AB75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5375255">
      <w:bodyDiv w:val="1"/>
      <w:marLeft w:val="0"/>
      <w:marRight w:val="0"/>
      <w:marTop w:val="0"/>
      <w:marBottom w:val="0"/>
      <w:divBdr>
        <w:top w:val="none" w:sz="0" w:space="0" w:color="auto"/>
        <w:left w:val="none" w:sz="0" w:space="0" w:color="auto"/>
        <w:bottom w:val="none" w:sz="0" w:space="0" w:color="auto"/>
        <w:right w:val="none" w:sz="0" w:space="0" w:color="auto"/>
      </w:divBdr>
      <w:divsChild>
        <w:div w:id="1449665396">
          <w:marLeft w:val="0"/>
          <w:marRight w:val="0"/>
          <w:marTop w:val="0"/>
          <w:marBottom w:val="0"/>
          <w:divBdr>
            <w:top w:val="none" w:sz="0" w:space="0" w:color="auto"/>
            <w:left w:val="none" w:sz="0" w:space="0" w:color="auto"/>
            <w:bottom w:val="none" w:sz="0" w:space="0" w:color="auto"/>
            <w:right w:val="none" w:sz="0" w:space="0" w:color="auto"/>
          </w:divBdr>
          <w:divsChild>
            <w:div w:id="1646736246">
              <w:marLeft w:val="0"/>
              <w:marRight w:val="0"/>
              <w:marTop w:val="0"/>
              <w:marBottom w:val="0"/>
              <w:divBdr>
                <w:top w:val="none" w:sz="0" w:space="0" w:color="auto"/>
                <w:left w:val="none" w:sz="0" w:space="0" w:color="auto"/>
                <w:bottom w:val="none" w:sz="0" w:space="0" w:color="auto"/>
                <w:right w:val="none" w:sz="0" w:space="0" w:color="auto"/>
              </w:divBdr>
              <w:divsChild>
                <w:div w:id="1470442024">
                  <w:marLeft w:val="0"/>
                  <w:marRight w:val="0"/>
                  <w:marTop w:val="0"/>
                  <w:marBottom w:val="0"/>
                  <w:divBdr>
                    <w:top w:val="none" w:sz="0" w:space="0" w:color="auto"/>
                    <w:left w:val="none" w:sz="0" w:space="0" w:color="auto"/>
                    <w:bottom w:val="none" w:sz="0" w:space="0" w:color="auto"/>
                    <w:right w:val="none" w:sz="0" w:space="0" w:color="auto"/>
                  </w:divBdr>
                  <w:divsChild>
                    <w:div w:id="8860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7543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251</Words>
  <Characters>1331</Characters>
  <Application>Microsoft Office Word</Application>
  <DocSecurity>0</DocSecurity>
  <Lines>11</Lines>
  <Paragraphs>3</Paragraphs>
  <ScaleCrop>false</ScaleCrop>
  <HeadingPairs>
    <vt:vector size="2" baseType="variant">
      <vt:variant>
        <vt:lpstr>Rubrik</vt:lpstr>
      </vt:variant>
      <vt:variant>
        <vt:i4>1</vt:i4>
      </vt:variant>
    </vt:vector>
  </HeadingPairs>
  <TitlesOfParts>
    <vt:vector size="1" baseType="lpstr">
      <vt:lpstr/>
    </vt:vector>
  </TitlesOfParts>
  <Company>GU</Company>
  <LinksUpToDate>false</LinksUpToDate>
  <CharactersWithSpaces>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Wennergren</dc:creator>
  <cp:keywords/>
  <dc:description/>
  <cp:lastModifiedBy>Carl Bergdahl</cp:lastModifiedBy>
  <cp:revision>6</cp:revision>
  <dcterms:created xsi:type="dcterms:W3CDTF">2021-02-02T09:07:00Z</dcterms:created>
  <dcterms:modified xsi:type="dcterms:W3CDTF">2021-02-02T20:35:00Z</dcterms:modified>
</cp:coreProperties>
</file>